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478C" w14:textId="5C76655F" w:rsidR="00C827F0" w:rsidRDefault="00C827F0">
      <w:pPr>
        <w:spacing w:line="276" w:lineRule="auto"/>
        <w:jc w:val="center"/>
        <w:rPr>
          <w:rFonts w:ascii="Helvetica Neue" w:eastAsia="Helvetica Neue" w:hAnsi="Helvetica Neue" w:cs="Helvetica Neue"/>
          <w:b/>
          <w:color w:val="C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>E</w:t>
      </w:r>
      <w:r w:rsidRPr="00C827F0"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 xml:space="preserve">l 68% de las empresas de la </w:t>
      </w:r>
      <w:proofErr w:type="spellStart"/>
      <w:r w:rsidRPr="00C827F0"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>Comunitat</w:t>
      </w:r>
      <w:proofErr w:type="spellEnd"/>
      <w:r w:rsidRPr="00C827F0"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 xml:space="preserve"> Valenciana</w:t>
      </w:r>
      <w:r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 xml:space="preserve"> integra </w:t>
      </w:r>
      <w:r w:rsidR="008E444F"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 xml:space="preserve">de forma explícita </w:t>
      </w:r>
      <w:r>
        <w:rPr>
          <w:rFonts w:ascii="Helvetica Neue" w:eastAsia="Helvetica Neue" w:hAnsi="Helvetica Neue" w:cs="Helvetica Neue"/>
          <w:b/>
          <w:color w:val="C00000"/>
          <w:sz w:val="32"/>
          <w:szCs w:val="32"/>
        </w:rPr>
        <w:t xml:space="preserve">la economía circular en su estrategia </w:t>
      </w:r>
    </w:p>
    <w:p w14:paraId="556B1CFD" w14:textId="77777777" w:rsidR="008E444F" w:rsidRDefault="008E444F">
      <w:pPr>
        <w:spacing w:line="276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3FD550E1" w14:textId="3C2007A2" w:rsidR="009334FE" w:rsidRDefault="000A3FE2" w:rsidP="005D09B5">
      <w:pPr>
        <w:spacing w:line="276" w:lineRule="auto"/>
        <w:ind w:left="-227" w:right="-227"/>
        <w:jc w:val="center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</w:t>
      </w:r>
      <w:r w:rsidR="00494367">
        <w:rPr>
          <w:rFonts w:ascii="Helvetica Neue" w:eastAsia="Helvetica Neue" w:hAnsi="Helvetica Neue" w:cs="Helvetica Neue"/>
          <w:sz w:val="23"/>
          <w:szCs w:val="23"/>
        </w:rPr>
        <w:t>o</w:t>
      </w:r>
      <w:r w:rsidR="00494367" w:rsidRPr="00494367">
        <w:rPr>
          <w:rFonts w:ascii="Helvetica Neue" w:eastAsia="Helvetica Neue" w:hAnsi="Helvetica Neue" w:cs="Helvetica Neue"/>
          <w:sz w:val="23"/>
          <w:szCs w:val="23"/>
        </w:rPr>
        <w:t xml:space="preserve">s resultados </w:t>
      </w:r>
      <w:r w:rsidR="00494367">
        <w:rPr>
          <w:rFonts w:ascii="Helvetica Neue" w:eastAsia="Helvetica Neue" w:hAnsi="Helvetica Neue" w:cs="Helvetica Neue"/>
          <w:sz w:val="23"/>
          <w:szCs w:val="23"/>
        </w:rPr>
        <w:t xml:space="preserve">del estudio </w:t>
      </w:r>
      <w:r w:rsidR="003656B6" w:rsidRPr="003656B6">
        <w:rPr>
          <w:rFonts w:ascii="Helvetica Neue" w:eastAsia="Helvetica Neue" w:hAnsi="Helvetica Neue" w:cs="Helvetica Neue"/>
          <w:sz w:val="23"/>
          <w:szCs w:val="23"/>
        </w:rPr>
        <w:t xml:space="preserve">‘La economía circular en el ecosistema empresarial de la </w:t>
      </w:r>
      <w:proofErr w:type="spellStart"/>
      <w:r w:rsidR="003656B6" w:rsidRPr="003656B6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="003656B6" w:rsidRPr="003656B6">
        <w:rPr>
          <w:rFonts w:ascii="Helvetica Neue" w:eastAsia="Helvetica Neue" w:hAnsi="Helvetica Neue" w:cs="Helvetica Neue"/>
          <w:sz w:val="23"/>
          <w:szCs w:val="23"/>
        </w:rPr>
        <w:t xml:space="preserve"> Valencian</w:t>
      </w:r>
      <w:r w:rsidR="003656B6">
        <w:rPr>
          <w:rFonts w:ascii="Helvetica Neue" w:eastAsia="Helvetica Neue" w:hAnsi="Helvetica Neue" w:cs="Helvetica Neue"/>
          <w:sz w:val="23"/>
          <w:szCs w:val="23"/>
        </w:rPr>
        <w:t>a’</w:t>
      </w:r>
      <w:r w:rsidR="00136D53">
        <w:rPr>
          <w:rFonts w:ascii="Helvetica Neue" w:eastAsia="Helvetica Neue" w:hAnsi="Helvetica Neue" w:cs="Helvetica Neue"/>
          <w:sz w:val="23"/>
          <w:szCs w:val="23"/>
        </w:rPr>
        <w:t>, desarrollado por ADCV con apoyo de AVI</w:t>
      </w:r>
      <w:r w:rsidR="008774D6">
        <w:rPr>
          <w:rFonts w:ascii="Helvetica Neue" w:eastAsia="Helvetica Neue" w:hAnsi="Helvetica Neue" w:cs="Helvetica Neue"/>
          <w:sz w:val="23"/>
          <w:szCs w:val="23"/>
        </w:rPr>
        <w:t xml:space="preserve"> en el marco del</w:t>
      </w:r>
      <w:r w:rsidR="005D09B5">
        <w:rPr>
          <w:rFonts w:ascii="Helvetica Neue" w:eastAsia="Helvetica Neue" w:hAnsi="Helvetica Neue" w:cs="Helvetica Neue"/>
          <w:sz w:val="23"/>
          <w:szCs w:val="23"/>
        </w:rPr>
        <w:t xml:space="preserve"> proyecto </w:t>
      </w:r>
      <w:proofErr w:type="spellStart"/>
      <w:r w:rsidR="005D09B5"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 w:rsidR="00136D53">
        <w:rPr>
          <w:rFonts w:ascii="Helvetica Neue" w:eastAsia="Helvetica Neue" w:hAnsi="Helvetica Neue" w:cs="Helvetica Neue"/>
          <w:sz w:val="23"/>
          <w:szCs w:val="23"/>
        </w:rPr>
        <w:t>, evidencian</w:t>
      </w:r>
      <w:r w:rsidR="00494367" w:rsidRPr="00494367">
        <w:rPr>
          <w:rFonts w:ascii="Helvetica Neue" w:eastAsia="Helvetica Neue" w:hAnsi="Helvetica Neue" w:cs="Helvetica Neue"/>
          <w:sz w:val="23"/>
          <w:szCs w:val="23"/>
        </w:rPr>
        <w:t xml:space="preserve"> el alto impacto </w:t>
      </w:r>
      <w:r w:rsidR="005D09B5">
        <w:rPr>
          <w:rFonts w:ascii="Helvetica Neue" w:eastAsia="Helvetica Neue" w:hAnsi="Helvetica Neue" w:cs="Helvetica Neue"/>
          <w:sz w:val="23"/>
          <w:szCs w:val="23"/>
        </w:rPr>
        <w:t>del</w:t>
      </w:r>
      <w:r w:rsidR="00494367" w:rsidRPr="00494367">
        <w:rPr>
          <w:rFonts w:ascii="Helvetica Neue" w:eastAsia="Helvetica Neue" w:hAnsi="Helvetica Neue" w:cs="Helvetica Neue"/>
          <w:sz w:val="23"/>
          <w:szCs w:val="23"/>
        </w:rPr>
        <w:t xml:space="preserve"> diseño </w:t>
      </w:r>
      <w:r w:rsidR="005D09B5">
        <w:rPr>
          <w:rFonts w:ascii="Helvetica Neue" w:eastAsia="Helvetica Neue" w:hAnsi="Helvetica Neue" w:cs="Helvetica Neue"/>
          <w:sz w:val="23"/>
          <w:szCs w:val="23"/>
        </w:rPr>
        <w:t>en</w:t>
      </w:r>
      <w:r w:rsidR="00494367" w:rsidRPr="00494367">
        <w:rPr>
          <w:rFonts w:ascii="Helvetica Neue" w:eastAsia="Helvetica Neue" w:hAnsi="Helvetica Neue" w:cs="Helvetica Neue"/>
          <w:sz w:val="23"/>
          <w:szCs w:val="23"/>
        </w:rPr>
        <w:t xml:space="preserve"> la innovación y la circularidad</w:t>
      </w:r>
    </w:p>
    <w:p w14:paraId="758CA0C0" w14:textId="77777777" w:rsidR="009334FE" w:rsidRDefault="009334FE">
      <w:pPr>
        <w:spacing w:line="276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2EFFDDDD" w14:textId="00D42D1A" w:rsidR="009334FE" w:rsidRDefault="00136D53">
      <w:pPr>
        <w:spacing w:line="276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</w:t>
      </w:r>
      <w:r w:rsidR="00A1182C">
        <w:rPr>
          <w:rFonts w:ascii="Helvetica Neue" w:eastAsia="Helvetica Neue" w:hAnsi="Helvetica Neue" w:cs="Helvetica Neue"/>
          <w:sz w:val="23"/>
          <w:szCs w:val="23"/>
        </w:rPr>
        <w:t>os datos, conclusiones y recomendaciones de la investigación permiten a</w:t>
      </w:r>
      <w:r w:rsidR="000A3FE2">
        <w:rPr>
          <w:rFonts w:ascii="Helvetica Neue" w:eastAsia="Helvetica Neue" w:hAnsi="Helvetica Neue" w:cs="Helvetica Neue"/>
          <w:sz w:val="23"/>
          <w:szCs w:val="23"/>
        </w:rPr>
        <w:t>vanza</w:t>
      </w:r>
      <w:r w:rsidR="00A1182C">
        <w:rPr>
          <w:rFonts w:ascii="Helvetica Neue" w:eastAsia="Helvetica Neue" w:hAnsi="Helvetica Neue" w:cs="Helvetica Neue"/>
          <w:sz w:val="23"/>
          <w:szCs w:val="23"/>
        </w:rPr>
        <w:t>r</w:t>
      </w:r>
      <w:r w:rsidR="000A3FE2">
        <w:rPr>
          <w:rFonts w:ascii="Helvetica Neue" w:eastAsia="Helvetica Neue" w:hAnsi="Helvetica Neue" w:cs="Helvetica Neue"/>
          <w:sz w:val="23"/>
          <w:szCs w:val="23"/>
        </w:rPr>
        <w:t xml:space="preserve"> en</w:t>
      </w:r>
      <w:r w:rsidR="00A1182C">
        <w:rPr>
          <w:rFonts w:ascii="Helvetica Neue" w:eastAsia="Helvetica Neue" w:hAnsi="Helvetica Neue" w:cs="Helvetica Neue"/>
          <w:sz w:val="23"/>
          <w:szCs w:val="23"/>
        </w:rPr>
        <w:t xml:space="preserve"> el</w:t>
      </w:r>
      <w:r w:rsidR="000A3FE2">
        <w:rPr>
          <w:rFonts w:ascii="Helvetica Neue" w:eastAsia="Helvetica Neue" w:hAnsi="Helvetica Neue" w:cs="Helvetica Neue"/>
          <w:sz w:val="23"/>
          <w:szCs w:val="23"/>
        </w:rPr>
        <w:t xml:space="preserve"> objetivo de</w:t>
      </w:r>
      <w:r w:rsidR="00A1182C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proofErr w:type="spellStart"/>
      <w:r w:rsidR="00A1182C"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 w:rsidR="00A1182C">
        <w:rPr>
          <w:rFonts w:ascii="Helvetica Neue" w:eastAsia="Helvetica Neue" w:hAnsi="Helvetica Neue" w:cs="Helvetica Neue"/>
          <w:sz w:val="23"/>
          <w:szCs w:val="23"/>
        </w:rPr>
        <w:t xml:space="preserve"> de</w:t>
      </w:r>
      <w:r w:rsidR="000A3FE2">
        <w:rPr>
          <w:rFonts w:ascii="Helvetica Neue" w:eastAsia="Helvetica Neue" w:hAnsi="Helvetica Neue" w:cs="Helvetica Neue"/>
          <w:sz w:val="23"/>
          <w:szCs w:val="23"/>
        </w:rPr>
        <w:t xml:space="preserve"> generar nuevo conocimiento sobre economía circular que sirva de base para definir políticas y estrategias de innovación</w:t>
      </w:r>
      <w:r w:rsidR="00A1182C">
        <w:rPr>
          <w:rFonts w:ascii="Helvetica Neue" w:eastAsia="Helvetica Neue" w:hAnsi="Helvetica Neue" w:cs="Helvetica Neue"/>
          <w:sz w:val="23"/>
          <w:szCs w:val="23"/>
        </w:rPr>
        <w:t>, públicas y privadas</w:t>
      </w:r>
    </w:p>
    <w:p w14:paraId="28EF215B" w14:textId="77777777" w:rsidR="009334FE" w:rsidRDefault="009334FE">
      <w:pPr>
        <w:spacing w:line="276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6356FD35" w14:textId="5F4B0096" w:rsidR="00913DF5" w:rsidRPr="00913DF5" w:rsidRDefault="000A3FE2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C00000"/>
          <w:sz w:val="23"/>
          <w:szCs w:val="23"/>
        </w:rPr>
        <w:t xml:space="preserve">València, </w:t>
      </w:r>
      <w:r w:rsidR="00276AFA">
        <w:rPr>
          <w:rFonts w:ascii="Helvetica Neue" w:eastAsia="Helvetica Neue" w:hAnsi="Helvetica Neue" w:cs="Helvetica Neue"/>
          <w:b/>
          <w:color w:val="C00000"/>
          <w:sz w:val="23"/>
          <w:szCs w:val="23"/>
        </w:rPr>
        <w:t>17</w:t>
      </w:r>
      <w:r>
        <w:rPr>
          <w:rFonts w:ascii="Helvetica Neue" w:eastAsia="Helvetica Neue" w:hAnsi="Helvetica Neue" w:cs="Helvetica Neue"/>
          <w:b/>
          <w:color w:val="C00000"/>
          <w:sz w:val="23"/>
          <w:szCs w:val="23"/>
        </w:rPr>
        <w:t xml:space="preserve"> de </w:t>
      </w:r>
      <w:r w:rsidR="00276AFA">
        <w:rPr>
          <w:rFonts w:ascii="Helvetica Neue" w:eastAsia="Helvetica Neue" w:hAnsi="Helvetica Neue" w:cs="Helvetica Neue"/>
          <w:b/>
          <w:color w:val="C00000"/>
          <w:sz w:val="23"/>
          <w:szCs w:val="23"/>
        </w:rPr>
        <w:t>febrero</w:t>
      </w:r>
      <w:r>
        <w:rPr>
          <w:rFonts w:ascii="Helvetica Neue" w:eastAsia="Helvetica Neue" w:hAnsi="Helvetica Neue" w:cs="Helvetica Neue"/>
          <w:b/>
          <w:color w:val="C00000"/>
          <w:sz w:val="23"/>
          <w:szCs w:val="23"/>
        </w:rPr>
        <w:t xml:space="preserve"> de 202</w:t>
      </w:r>
      <w:r w:rsidR="00276AFA">
        <w:rPr>
          <w:rFonts w:ascii="Helvetica Neue" w:eastAsia="Helvetica Neue" w:hAnsi="Helvetica Neue" w:cs="Helvetica Neue"/>
          <w:b/>
          <w:color w:val="C00000"/>
          <w:sz w:val="23"/>
          <w:szCs w:val="23"/>
        </w:rPr>
        <w:t>2</w:t>
      </w:r>
      <w:r>
        <w:rPr>
          <w:rFonts w:ascii="Helvetica Neue" w:eastAsia="Helvetica Neue" w:hAnsi="Helvetica Neue" w:cs="Helvetica Neue"/>
          <w:color w:val="C00000"/>
          <w:sz w:val="23"/>
          <w:szCs w:val="23"/>
        </w:rPr>
        <w:t xml:space="preserve">.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La economía circular se integra de forma explícita en la estrategia empresarial del 67,8% de las empresas de la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Valenciana, porcentaje que llega hasta el 84,7% en las que cuentan con más de 100 personas en plantilla. Así se desprende del estudio ‘La economía circular en el ecosistema empresarial de la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Valenciana’, llevado a cabo en el marco del proyecto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, </w:t>
      </w:r>
      <w:r w:rsidR="007072D6">
        <w:rPr>
          <w:rFonts w:ascii="Helvetica Neue" w:eastAsia="Helvetica Neue" w:hAnsi="Helvetica Neue" w:cs="Helvetica Neue"/>
          <w:sz w:val="23"/>
          <w:szCs w:val="23"/>
        </w:rPr>
        <w:t xml:space="preserve">desarrollado y gestionado por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la Asociación de Diseñadores de la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Valenciana (ADCV), con el apoyo de la Agencia Valenciana de la Innovación (AVI). </w:t>
      </w:r>
    </w:p>
    <w:p w14:paraId="0317EB6C" w14:textId="4FFB2291" w:rsid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Esta investigación sobre el grado de conocimiento y de integración real de estrategias y acciones vinculadas a la economía circular en el tejido empresarial de la región permite contar con una base de información real sobre la que definir planes y estrategias de innovación para avanzar hacia modelos más sostenibles y competitivos. La consultora especializada </w:t>
      </w:r>
      <w:proofErr w:type="spellStart"/>
      <w:r w:rsidRPr="00913DF5">
        <w:rPr>
          <w:rFonts w:ascii="Helvetica Neue" w:eastAsia="Helvetica Neue" w:hAnsi="Helvetica Neue" w:cs="Helvetica Neue"/>
          <w:sz w:val="23"/>
          <w:szCs w:val="23"/>
        </w:rPr>
        <w:t>GfK</w:t>
      </w:r>
      <w:proofErr w:type="spellEnd"/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ha llevado a cabo 472 encuestas a empresas con sede en la </w:t>
      </w:r>
      <w:proofErr w:type="spellStart"/>
      <w:r w:rsidRPr="00913DF5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Valenciana, pertenecientes a la industria, comercio, servicios y turismo, que </w:t>
      </w:r>
      <w:r w:rsidR="00175132">
        <w:rPr>
          <w:rFonts w:ascii="Helvetica Neue" w:eastAsia="Helvetica Neue" w:hAnsi="Helvetica Neue" w:cs="Helvetica Neue"/>
          <w:sz w:val="23"/>
          <w:szCs w:val="23"/>
        </w:rPr>
        <w:t xml:space="preserve">fueron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entrevistadas telefónicamente entre octubre y diciembre de 2021.  </w:t>
      </w:r>
    </w:p>
    <w:p w14:paraId="2DC2CA5F" w14:textId="2A9CEF03" w:rsidR="00913DF5" w:rsidRPr="00913DF5" w:rsidRDefault="001D13CC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1D13CC">
        <w:rPr>
          <w:rFonts w:ascii="Helvetica Neue" w:eastAsia="Helvetica Neue" w:hAnsi="Helvetica Neue" w:cs="Helvetica Neue"/>
          <w:sz w:val="23"/>
          <w:szCs w:val="23"/>
        </w:rPr>
        <w:t>"La economía circular abre múltiples posibilidades y genera oportunidades de negocio crecientes. ¿Quién se va a llevar el gato al agua? El que maneje la innovación. Si somos los primeros en economía circular, nuestro modelo económico y productivo irá en la dirección correcta</w:t>
      </w:r>
      <w:r w:rsidR="00ED1FFE">
        <w:rPr>
          <w:rFonts w:ascii="Helvetica Neue" w:eastAsia="Helvetica Neue" w:hAnsi="Helvetica Neue" w:cs="Helvetica Neue"/>
          <w:sz w:val="23"/>
          <w:szCs w:val="23"/>
        </w:rPr>
        <w:t>, hacia la sostenibilidad</w:t>
      </w:r>
      <w:r w:rsidRPr="001D13CC">
        <w:rPr>
          <w:rFonts w:ascii="Helvetica Neue" w:eastAsia="Helvetica Neue" w:hAnsi="Helvetica Neue" w:cs="Helvetica Neue"/>
          <w:sz w:val="23"/>
          <w:szCs w:val="23"/>
        </w:rPr>
        <w:t xml:space="preserve">. Para ello, es muy importante contar con este estudio desarrollado en el marco de </w:t>
      </w:r>
      <w:proofErr w:type="spellStart"/>
      <w:r w:rsidRPr="001D13CC"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 w:rsidRPr="001D13CC">
        <w:rPr>
          <w:rFonts w:ascii="Helvetica Neue" w:eastAsia="Helvetica Neue" w:hAnsi="Helvetica Neue" w:cs="Helvetica Neue"/>
          <w:sz w:val="23"/>
          <w:szCs w:val="23"/>
        </w:rPr>
        <w:t xml:space="preserve">, que permite conocer la realidad y, sobre ella, definir estrategias y líneas de trabajo", ha subrayado Andrés García </w:t>
      </w:r>
      <w:proofErr w:type="spellStart"/>
      <w:r w:rsidRPr="001D13CC">
        <w:rPr>
          <w:rFonts w:ascii="Helvetica Neue" w:eastAsia="Helvetica Neue" w:hAnsi="Helvetica Neue" w:cs="Helvetica Neue"/>
          <w:sz w:val="23"/>
          <w:szCs w:val="23"/>
        </w:rPr>
        <w:t>Reche</w:t>
      </w:r>
      <w:proofErr w:type="spellEnd"/>
      <w:r w:rsidRPr="001D13CC">
        <w:rPr>
          <w:rFonts w:ascii="Helvetica Neue" w:eastAsia="Helvetica Neue" w:hAnsi="Helvetica Neue" w:cs="Helvetica Neue"/>
          <w:sz w:val="23"/>
          <w:szCs w:val="23"/>
        </w:rPr>
        <w:t>, vicepresidente ejecutivo de la Agencia Valenciana de la Innovación (AVI)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, </w:t>
      </w:r>
      <w:r w:rsidR="002365CA" w:rsidRPr="001D13CC">
        <w:rPr>
          <w:rFonts w:ascii="Helvetica Neue" w:eastAsia="Helvetica Neue" w:hAnsi="Helvetica Neue" w:cs="Helvetica Neue"/>
          <w:sz w:val="23"/>
          <w:szCs w:val="23"/>
        </w:rPr>
        <w:t>en la jornada de presentación del estudio, celebrada en el centro de innovación Las Naves.</w:t>
      </w:r>
    </w:p>
    <w:p w14:paraId="5CF9F156" w14:textId="4F90AB4E" w:rsidR="000258A2" w:rsidRDefault="0083638B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Para conseguir este objetivo, “los resultados de la investigación están a disposición de todos los agentes implicados en esta evolución, desde las Administraciones</w:t>
      </w:r>
      <w:r w:rsidR="00ED1FFE">
        <w:rPr>
          <w:rFonts w:ascii="Helvetica Neue" w:eastAsia="Helvetica Neue" w:hAnsi="Helvetica Neue" w:cs="Helvetica Neue"/>
          <w:sz w:val="23"/>
          <w:szCs w:val="23"/>
        </w:rPr>
        <w:t xml:space="preserve"> Públicas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, a entidades académicas y de investigación, organizaciones y asociaciones empresariales y del Tercer Sector, compañías y ciudadanía”, ha destacado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Ángel Martínez, presidente de la ADCV</w:t>
      </w:r>
      <w:r w:rsidR="000258A2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0258A2" w:rsidRPr="000F1D27">
        <w:rPr>
          <w:rFonts w:ascii="Helvetica Neue" w:eastAsia="Helvetica Neue" w:hAnsi="Helvetica Neue" w:cs="Helvetica Neue"/>
          <w:sz w:val="23"/>
          <w:szCs w:val="23"/>
        </w:rPr>
        <w:t>P</w:t>
      </w:r>
      <w:r w:rsidR="000F1D27" w:rsidRPr="000F1D27">
        <w:rPr>
          <w:rFonts w:ascii="Helvetica Neue" w:eastAsia="Helvetica Neue" w:hAnsi="Helvetica Neue" w:cs="Helvetica Neue"/>
          <w:sz w:val="23"/>
          <w:szCs w:val="23"/>
        </w:rPr>
        <w:t xml:space="preserve">odrán </w:t>
      </w:r>
      <w:r w:rsidR="000258A2" w:rsidRPr="000F1D27">
        <w:rPr>
          <w:rFonts w:ascii="Helvetica Neue" w:eastAsia="Helvetica Neue" w:hAnsi="Helvetica Neue" w:cs="Helvetica Neue"/>
          <w:sz w:val="23"/>
          <w:szCs w:val="23"/>
        </w:rPr>
        <w:t xml:space="preserve">consultarse </w:t>
      </w:r>
      <w:r w:rsidR="000F1D27" w:rsidRPr="000F1D27">
        <w:rPr>
          <w:rFonts w:ascii="Helvetica Neue" w:eastAsia="Helvetica Neue" w:hAnsi="Helvetica Neue" w:cs="Helvetica Neue"/>
          <w:sz w:val="23"/>
          <w:szCs w:val="23"/>
        </w:rPr>
        <w:t>en l</w:t>
      </w:r>
      <w:r w:rsidR="00AD6E8B">
        <w:rPr>
          <w:rFonts w:ascii="Helvetica Neue" w:eastAsia="Helvetica Neue" w:hAnsi="Helvetica Neue" w:cs="Helvetica Neue"/>
          <w:sz w:val="23"/>
          <w:szCs w:val="23"/>
        </w:rPr>
        <w:t>os</w:t>
      </w:r>
      <w:r w:rsidR="000F1D27" w:rsidRPr="000F1D27">
        <w:rPr>
          <w:rFonts w:ascii="Helvetica Neue" w:eastAsia="Helvetica Neue" w:hAnsi="Helvetica Neue" w:cs="Helvetica Neue"/>
          <w:sz w:val="23"/>
          <w:szCs w:val="23"/>
        </w:rPr>
        <w:t xml:space="preserve"> próxim</w:t>
      </w:r>
      <w:r w:rsidR="00AD6E8B">
        <w:rPr>
          <w:rFonts w:ascii="Helvetica Neue" w:eastAsia="Helvetica Neue" w:hAnsi="Helvetica Neue" w:cs="Helvetica Neue"/>
          <w:sz w:val="23"/>
          <w:szCs w:val="23"/>
        </w:rPr>
        <w:t>o</w:t>
      </w:r>
      <w:r w:rsidR="000F1D27" w:rsidRPr="000F1D27">
        <w:rPr>
          <w:rFonts w:ascii="Helvetica Neue" w:eastAsia="Helvetica Neue" w:hAnsi="Helvetica Neue" w:cs="Helvetica Neue"/>
          <w:sz w:val="23"/>
          <w:szCs w:val="23"/>
        </w:rPr>
        <w:t xml:space="preserve">s </w:t>
      </w:r>
      <w:r w:rsidR="00C622B1">
        <w:rPr>
          <w:rFonts w:ascii="Helvetica Neue" w:eastAsia="Helvetica Neue" w:hAnsi="Helvetica Neue" w:cs="Helvetica Neue"/>
          <w:sz w:val="23"/>
          <w:szCs w:val="23"/>
        </w:rPr>
        <w:t>días</w:t>
      </w:r>
      <w:r w:rsidR="000F1D27" w:rsidRPr="000F1D27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258A2" w:rsidRPr="000F1D27">
        <w:rPr>
          <w:rFonts w:ascii="Helvetica Neue" w:eastAsia="Helvetica Neue" w:hAnsi="Helvetica Neue" w:cs="Helvetica Neue"/>
          <w:sz w:val="23"/>
          <w:szCs w:val="23"/>
        </w:rPr>
        <w:t xml:space="preserve">a través </w:t>
      </w:r>
      <w:r w:rsidR="00E21155">
        <w:rPr>
          <w:rFonts w:ascii="Helvetica Neue" w:eastAsia="Helvetica Neue" w:hAnsi="Helvetica Neue" w:cs="Helvetica Neue"/>
          <w:sz w:val="23"/>
          <w:szCs w:val="23"/>
        </w:rPr>
        <w:t xml:space="preserve">de </w:t>
      </w:r>
      <w:r w:rsidR="000258A2" w:rsidRPr="000F1D27">
        <w:rPr>
          <w:rFonts w:ascii="Helvetica Neue" w:eastAsia="Helvetica Neue" w:hAnsi="Helvetica Neue" w:cs="Helvetica Neue"/>
          <w:sz w:val="23"/>
          <w:szCs w:val="23"/>
        </w:rPr>
        <w:t xml:space="preserve">la plataforma encircular.es, desde la que también se puede descargar el resumen ejecutivo, con </w:t>
      </w:r>
      <w:r w:rsidR="008129BC" w:rsidRPr="000F1D27">
        <w:rPr>
          <w:rFonts w:ascii="Helvetica Neue" w:eastAsia="Helvetica Neue" w:hAnsi="Helvetica Neue" w:cs="Helvetica Neue"/>
          <w:sz w:val="23"/>
          <w:szCs w:val="23"/>
        </w:rPr>
        <w:t xml:space="preserve">los principales datos, </w:t>
      </w:r>
      <w:r w:rsidR="000258A2" w:rsidRPr="000F1D27">
        <w:rPr>
          <w:rFonts w:ascii="Helvetica Neue" w:eastAsia="Helvetica Neue" w:hAnsi="Helvetica Neue" w:cs="Helvetica Neue"/>
          <w:sz w:val="23"/>
          <w:szCs w:val="23"/>
        </w:rPr>
        <w:t>conclusiones</w:t>
      </w:r>
      <w:r w:rsidR="008129BC" w:rsidRPr="000F1D27">
        <w:rPr>
          <w:rFonts w:ascii="Helvetica Neue" w:eastAsia="Helvetica Neue" w:hAnsi="Helvetica Neue" w:cs="Helvetica Neue"/>
          <w:sz w:val="23"/>
          <w:szCs w:val="23"/>
        </w:rPr>
        <w:t xml:space="preserve"> y recomendaciones.</w:t>
      </w:r>
    </w:p>
    <w:p w14:paraId="6EBF3326" w14:textId="2EBD711B" w:rsidR="00913DF5" w:rsidRPr="00913DF5" w:rsidRDefault="0083638B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E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l estudio recoge una visión global de la economía circular, desde la definición de estrategias corporativas a la de productos y servicios; la cadena de suministro de materias primas, agua y energía; la producción; la distribución; reciclaje, reparación, reutilización y recuperación; la implicación de</w:t>
      </w:r>
      <w:r w:rsidR="0066078B">
        <w:rPr>
          <w:rFonts w:ascii="Helvetica Neue" w:eastAsia="Helvetica Neue" w:hAnsi="Helvetica Neue" w:cs="Helvetica Neue"/>
          <w:sz w:val="23"/>
          <w:szCs w:val="23"/>
        </w:rPr>
        <w:t xml:space="preserve"> la ciudadanía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; el papel del diseño en la innovación, o el grado de conocimiento y utilización de sistemas públicos de apoyo a la economía circular.</w:t>
      </w:r>
    </w:p>
    <w:p w14:paraId="381A1F9B" w14:textId="7982AABE" w:rsidR="00913DF5" w:rsidRPr="00913DF5" w:rsidRDefault="0066078B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Según las conclusiones, e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ntre las estrategias con mayor implantación entre las empresas de la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="00ED1FFE">
        <w:rPr>
          <w:rFonts w:ascii="Helvetica Neue" w:eastAsia="Helvetica Neue" w:hAnsi="Helvetica Neue" w:cs="Helvetica Neue"/>
          <w:sz w:val="23"/>
          <w:szCs w:val="23"/>
        </w:rPr>
        <w:t xml:space="preserve"> Valenciana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, destacan aquellas relacionadas con procesos de optimización que permiten emplear menos recursos sin necesidad de afrontar grandes transformaciones o inversiones -como, por ejemplo, las orientadas a alargar la vida útil y la no generación de residuos-. En esta línea, un 87,2% de las compañías ha optado por el rediseño de productos o servicios con criterios de circularidad. </w:t>
      </w:r>
    </w:p>
    <w:p w14:paraId="2AF531B1" w14:textId="4E072C40" w:rsidR="0066078B" w:rsidRDefault="0066078B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También destacan las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centradas en la fase de distribución, </w:t>
      </w:r>
      <w:r>
        <w:rPr>
          <w:rFonts w:ascii="Helvetica Neue" w:eastAsia="Helvetica Neue" w:hAnsi="Helvetica Neue" w:cs="Helvetica Neue"/>
          <w:sz w:val="23"/>
          <w:szCs w:val="23"/>
        </w:rPr>
        <w:t>como l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a utilización de envases eco-responsables (un 66,7%) y la planificación de rutas más eficientes (un 61,8%). </w:t>
      </w:r>
    </w:p>
    <w:p w14:paraId="49C19082" w14:textId="46F47339" w:rsidR="00913DF5" w:rsidRP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>En el extremo opuesto, llama la atención que la estrategia menos ejecutada sea la implantación de sistemas de movilidad cero emisiones.</w:t>
      </w:r>
    </w:p>
    <w:p w14:paraId="04EF753F" w14:textId="77777777" w:rsidR="00913DF5" w:rsidRPr="0083638B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</w:pPr>
      <w:r w:rsidRPr="0083638B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>Más diseño = más innovación y más circularidad</w:t>
      </w:r>
    </w:p>
    <w:p w14:paraId="2E43C515" w14:textId="1706035F" w:rsidR="00913DF5" w:rsidRP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El 58% de las empresas encuestadas </w:t>
      </w:r>
      <w:r w:rsidR="0066078B">
        <w:rPr>
          <w:rFonts w:ascii="Helvetica Neue" w:eastAsia="Helvetica Neue" w:hAnsi="Helvetica Neue" w:cs="Helvetica Neue"/>
          <w:sz w:val="23"/>
          <w:szCs w:val="23"/>
        </w:rPr>
        <w:t>asegura que lleva a cabo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algún tipo de innovación, siendo la centrada en productos, bienes y servicios la más habitual. De las innovaciones que llevan a cabo el total de empresas, un 40% está relacionado con la economía circular.</w:t>
      </w:r>
    </w:p>
    <w:p w14:paraId="2355C0F6" w14:textId="28474764" w:rsidR="00913DF5" w:rsidRP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En este sentido, los resultados </w:t>
      </w:r>
      <w:r w:rsidR="00B24E66">
        <w:rPr>
          <w:rFonts w:ascii="Helvetica Neue" w:eastAsia="Helvetica Neue" w:hAnsi="Helvetica Neue" w:cs="Helvetica Neue"/>
          <w:sz w:val="23"/>
          <w:szCs w:val="23"/>
        </w:rPr>
        <w:t xml:space="preserve">de la investigación de </w:t>
      </w:r>
      <w:proofErr w:type="spellStart"/>
      <w:r w:rsidR="00B24E66"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 w:rsidR="00B24E6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ponen en evidencia el alto impacto que el diseño tiene en la relación con la innovación y la circularidad: las empresas que cuentan con el diseño como elemento central o estratégico en su actividad empresarial son aquellas que innovan en un mayor porcentaje (un 79,6%) y, además, son las que incorporan </w:t>
      </w:r>
      <w:r w:rsidR="00ED1FFE">
        <w:rPr>
          <w:rFonts w:ascii="Helvetica Neue" w:eastAsia="Helvetica Neue" w:hAnsi="Helvetica Neue" w:cs="Helvetica Neue"/>
          <w:sz w:val="23"/>
          <w:szCs w:val="23"/>
        </w:rPr>
        <w:t>de forma más intensiva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estrategias para alcanzar la circularidad en sus modelos de negocio y mejorar su impacto medioambiental.</w:t>
      </w:r>
    </w:p>
    <w:p w14:paraId="0870A001" w14:textId="2674633A" w:rsidR="00913DF5" w:rsidRP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A pesar de esta creciente implementación de estrategias y acciones de sostenibilidad, solo la mitad de las empresas mide el efecto que genera su actividad sobre la sociedad y el medioambiente. Las pertenecientes al sector turismo y las </w:t>
      </w:r>
      <w:r w:rsidR="00B24E66">
        <w:rPr>
          <w:rFonts w:ascii="Helvetica Neue" w:eastAsia="Helvetica Neue" w:hAnsi="Helvetica Neue" w:cs="Helvetica Neue"/>
          <w:sz w:val="23"/>
          <w:szCs w:val="23"/>
        </w:rPr>
        <w:t>de mayor tamaño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>, tanto por número de empleados como por facturación, analizan estos impactos en mayor medida.</w:t>
      </w:r>
    </w:p>
    <w:p w14:paraId="2BA40A15" w14:textId="0B5E3715" w:rsidR="00913DF5" w:rsidRPr="0083638B" w:rsidRDefault="00B24E66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</w:pPr>
      <w:r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>Asignaturas p</w:t>
      </w:r>
      <w:r w:rsidR="00913DF5" w:rsidRPr="0083638B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 xml:space="preserve">endientes: </w:t>
      </w:r>
      <w:r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 xml:space="preserve">más </w:t>
      </w:r>
      <w:r w:rsidR="00913DF5" w:rsidRPr="0083638B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>formación, medición, cooperación y apoyo público</w:t>
      </w:r>
    </w:p>
    <w:p w14:paraId="20C8FA61" w14:textId="77777777" w:rsidR="00913DF5" w:rsidRP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La jornada de presentación del estudio ha contado con los expertos que han colaborado en su ejecución y en el análisis de los resultados, Elena Galante, asesora en sostenibilidad y responsabilidad social, y Arturo Jiménez, socio director de </w:t>
      </w:r>
      <w:proofErr w:type="spellStart"/>
      <w:r w:rsidRPr="00913DF5">
        <w:rPr>
          <w:rFonts w:ascii="Helvetica Neue" w:eastAsia="Helvetica Neue" w:hAnsi="Helvetica Neue" w:cs="Helvetica Neue"/>
          <w:sz w:val="23"/>
          <w:szCs w:val="23"/>
        </w:rPr>
        <w:t>The</w:t>
      </w:r>
      <w:proofErr w:type="spellEnd"/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Blue Plan. </w:t>
      </w:r>
    </w:p>
    <w:p w14:paraId="1BA97467" w14:textId="5260FCFA" w:rsidR="00913DF5" w:rsidRPr="00913DF5" w:rsidRDefault="00913DF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Entre las recomendaciones formuladas por los expertos en base a los resultados de la investigación, están la </w:t>
      </w:r>
      <w:r w:rsidR="00B24E66">
        <w:rPr>
          <w:rFonts w:ascii="Helvetica Neue" w:eastAsia="Helvetica Neue" w:hAnsi="Helvetica Neue" w:cs="Helvetica Neue"/>
          <w:sz w:val="23"/>
          <w:szCs w:val="23"/>
        </w:rPr>
        <w:t xml:space="preserve">necesaria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formación de líderes empresariales en materia de economía circular, </w:t>
      </w:r>
      <w:r w:rsidR="00B24E66">
        <w:rPr>
          <w:rFonts w:ascii="Helvetica Neue" w:eastAsia="Helvetica Neue" w:hAnsi="Helvetica Neue" w:cs="Helvetica Neue"/>
          <w:sz w:val="23"/>
          <w:szCs w:val="23"/>
        </w:rPr>
        <w:t xml:space="preserve">a los que se debe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>dot</w:t>
      </w:r>
      <w:r w:rsidR="00B24E66">
        <w:rPr>
          <w:rFonts w:ascii="Helvetica Neue" w:eastAsia="Helvetica Neue" w:hAnsi="Helvetica Neue" w:cs="Helvetica Neue"/>
          <w:sz w:val="23"/>
          <w:szCs w:val="23"/>
        </w:rPr>
        <w:t>ar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de recursos para </w:t>
      </w:r>
      <w:r w:rsidR="00B24E66">
        <w:rPr>
          <w:rFonts w:ascii="Helvetica Neue" w:eastAsia="Helvetica Neue" w:hAnsi="Helvetica Neue" w:cs="Helvetica Neue"/>
          <w:sz w:val="23"/>
          <w:szCs w:val="23"/>
        </w:rPr>
        <w:t>impulsar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la transición hacia modelos y procesos más sostenibles; incentivar la cooperación empresarial; promover la implementación de sistemas de medición e indicadores de impactos; mejorar la comunicación</w:t>
      </w:r>
      <w:r w:rsidR="004B4AD3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relacionada con la circularidad; la adecuación de las convocatorias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lastRenderedPageBreak/>
        <w:t>públicas de apoyo a las necesidades y perfil real de las empresas, y el apoyo a las pymes en la implementación de procesos de la circularidad a través del diseño.</w:t>
      </w:r>
    </w:p>
    <w:p w14:paraId="19DABD6B" w14:textId="4EEE3E4E" w:rsidR="00913DF5" w:rsidRDefault="00FE379B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Para completar esta visión, l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a segunda parte de la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jornada de </w:t>
      </w:r>
      <w:proofErr w:type="gramStart"/>
      <w:r>
        <w:rPr>
          <w:rFonts w:ascii="Helvetica Neue" w:eastAsia="Helvetica Neue" w:hAnsi="Helvetica Neue" w:cs="Helvetica Neue"/>
          <w:sz w:val="23"/>
          <w:szCs w:val="23"/>
        </w:rPr>
        <w:t>presentación,</w:t>
      </w:r>
      <w:proofErr w:type="gramEnd"/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7F0318">
        <w:rPr>
          <w:rFonts w:ascii="Helvetica Neue" w:eastAsia="Helvetica Neue" w:hAnsi="Helvetica Neue" w:cs="Helvetica Neue"/>
          <w:sz w:val="23"/>
          <w:szCs w:val="23"/>
        </w:rPr>
        <w:t xml:space="preserve">ha </w:t>
      </w:r>
      <w:r>
        <w:rPr>
          <w:rFonts w:ascii="Helvetica Neue" w:eastAsia="Helvetica Neue" w:hAnsi="Helvetica Neue" w:cs="Helvetica Neue"/>
          <w:sz w:val="23"/>
          <w:szCs w:val="23"/>
        </w:rPr>
        <w:t>recogi</w:t>
      </w:r>
      <w:r w:rsidR="007F0318">
        <w:rPr>
          <w:rFonts w:ascii="Helvetica Neue" w:eastAsia="Helvetica Neue" w:hAnsi="Helvetica Neue" w:cs="Helvetica Neue"/>
          <w:sz w:val="23"/>
          <w:szCs w:val="23"/>
        </w:rPr>
        <w:t>do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casos de éxito y buenas prácticas de economía circular en organizaciones. </w:t>
      </w:r>
      <w:r w:rsidR="005A7AA8">
        <w:rPr>
          <w:rFonts w:ascii="Helvetica Neue" w:eastAsia="Helvetica Neue" w:hAnsi="Helvetica Neue" w:cs="Helvetica Neue"/>
          <w:sz w:val="23"/>
          <w:szCs w:val="23"/>
        </w:rPr>
        <w:t xml:space="preserve">En concreto,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el proyecto europeo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CircularStart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, </w:t>
      </w:r>
      <w:r w:rsidR="005A7AA8" w:rsidRPr="00913DF5">
        <w:rPr>
          <w:rFonts w:ascii="Helvetica Neue" w:eastAsia="Helvetica Neue" w:hAnsi="Helvetica Neue" w:cs="Helvetica Neue"/>
          <w:sz w:val="23"/>
          <w:szCs w:val="23"/>
        </w:rPr>
        <w:t>liderado por el Instituto de Tecnología Cerámica (ITC)</w:t>
      </w:r>
      <w:r w:rsidR="005A7AA8">
        <w:rPr>
          <w:rFonts w:ascii="Helvetica Neue" w:eastAsia="Helvetica Neue" w:hAnsi="Helvetica Neue" w:cs="Helvetica Neue"/>
          <w:sz w:val="23"/>
          <w:szCs w:val="23"/>
        </w:rPr>
        <w:t xml:space="preserve"> y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orientado a apoyar a startups en la integración de la economía circular, que ha </w:t>
      </w:r>
      <w:r w:rsidR="005A7AA8">
        <w:rPr>
          <w:rFonts w:ascii="Helvetica Neue" w:eastAsia="Helvetica Neue" w:hAnsi="Helvetica Neue" w:cs="Helvetica Neue"/>
          <w:sz w:val="23"/>
          <w:szCs w:val="23"/>
        </w:rPr>
        <w:t xml:space="preserve">sido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presentado por Laura González, técnico del área de Sostenibilidad;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The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Gravity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Wave, cuyo propuesta para recoger plásticos del mar y transformarlos en productos -como mobiliario o señalética-</w:t>
      </w:r>
      <w:r w:rsidR="005A7AA8">
        <w:rPr>
          <w:rFonts w:ascii="Helvetica Neue" w:eastAsia="Helvetica Neue" w:hAnsi="Helvetica Neue" w:cs="Helvetica Neue"/>
          <w:sz w:val="23"/>
          <w:szCs w:val="23"/>
        </w:rPr>
        <w:t xml:space="preserve"> ha </w:t>
      </w:r>
      <w:r w:rsidR="007F0318">
        <w:rPr>
          <w:rFonts w:ascii="Helvetica Neue" w:eastAsia="Helvetica Neue" w:hAnsi="Helvetica Neue" w:cs="Helvetica Neue"/>
          <w:sz w:val="23"/>
          <w:szCs w:val="23"/>
        </w:rPr>
        <w:t xml:space="preserve">sido 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explicad</w:t>
      </w:r>
      <w:r w:rsidR="007F0318">
        <w:rPr>
          <w:rFonts w:ascii="Helvetica Neue" w:eastAsia="Helvetica Neue" w:hAnsi="Helvetica Neue" w:cs="Helvetica Neue"/>
          <w:sz w:val="23"/>
          <w:szCs w:val="23"/>
        </w:rPr>
        <w:t>a por</w:t>
      </w:r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su CEO, Amaia Rodríguez, y el proyecto del Grupo Levantina para emplear residuos inertes del descarte de piedra natural para restaurar zonas degradadas, que ha detallado su </w:t>
      </w:r>
      <w:proofErr w:type="spellStart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>Quality</w:t>
      </w:r>
      <w:proofErr w:type="spellEnd"/>
      <w:r w:rsidR="00913DF5" w:rsidRPr="00913DF5">
        <w:rPr>
          <w:rFonts w:ascii="Helvetica Neue" w:eastAsia="Helvetica Neue" w:hAnsi="Helvetica Neue" w:cs="Helvetica Neue"/>
          <w:sz w:val="23"/>
          <w:szCs w:val="23"/>
        </w:rPr>
        <w:t xml:space="preserve"> Manager, Gloria Costas.</w:t>
      </w:r>
    </w:p>
    <w:p w14:paraId="70EDC9D7" w14:textId="27FB29BB" w:rsidR="00525835" w:rsidRPr="00524FAF" w:rsidRDefault="007F0318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</w:pPr>
      <w:r w:rsidRPr="00182B1A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>Nuevo m</w:t>
      </w:r>
      <w:r w:rsidR="00904134" w:rsidRPr="00182B1A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 xml:space="preserve">apa </w:t>
      </w:r>
      <w:r w:rsidRPr="00182B1A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 xml:space="preserve">digital interactivo </w:t>
      </w:r>
      <w:r w:rsidR="00904134" w:rsidRPr="00182B1A">
        <w:rPr>
          <w:rFonts w:ascii="Helvetica Neue" w:eastAsia="Helvetica Neue" w:hAnsi="Helvetica Neue" w:cs="Helvetica Neue"/>
          <w:b/>
          <w:bCs/>
          <w:color w:val="C00000"/>
          <w:sz w:val="23"/>
          <w:szCs w:val="23"/>
        </w:rPr>
        <w:t>y herramientas prácticas</w:t>
      </w:r>
    </w:p>
    <w:p w14:paraId="6EAF343F" w14:textId="6F3EA6E4" w:rsidR="00195B5A" w:rsidRDefault="00195B5A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El </w:t>
      </w:r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estudio ‘La economía circular en el ecosistema empresarial de la </w:t>
      </w:r>
      <w:proofErr w:type="spellStart"/>
      <w:r w:rsidRPr="00913DF5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Pr="00913DF5">
        <w:rPr>
          <w:rFonts w:ascii="Helvetica Neue" w:eastAsia="Helvetica Neue" w:hAnsi="Helvetica Neue" w:cs="Helvetica Neue"/>
          <w:sz w:val="23"/>
          <w:szCs w:val="23"/>
        </w:rPr>
        <w:t xml:space="preserve"> Valenciana’</w:t>
      </w:r>
      <w:r w:rsidR="00FF627E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enlaza con </w:t>
      </w:r>
      <w:r w:rsidR="00FF627E">
        <w:rPr>
          <w:rFonts w:ascii="Helvetica Neue" w:eastAsia="Helvetica Neue" w:hAnsi="Helvetica Neue" w:cs="Helvetica Neue"/>
          <w:sz w:val="23"/>
          <w:szCs w:val="23"/>
        </w:rPr>
        <w:t xml:space="preserve">uno de los objetivos fundacionales estratégicos de </w:t>
      </w:r>
      <w:proofErr w:type="spellStart"/>
      <w:r w:rsidR="00FF627E">
        <w:rPr>
          <w:rFonts w:ascii="Helvetica Neue" w:eastAsia="Helvetica Neue" w:hAnsi="Helvetica Neue" w:cs="Helvetica Neue"/>
          <w:sz w:val="23"/>
          <w:szCs w:val="23"/>
        </w:rPr>
        <w:t>E</w:t>
      </w:r>
      <w:r w:rsidR="000A3FE2">
        <w:rPr>
          <w:rFonts w:ascii="Helvetica Neue" w:eastAsia="Helvetica Neue" w:hAnsi="Helvetica Neue" w:cs="Helvetica Neue"/>
          <w:sz w:val="23"/>
          <w:szCs w:val="23"/>
        </w:rPr>
        <w:t>nCircular</w:t>
      </w:r>
      <w:proofErr w:type="spellEnd"/>
      <w:r w:rsidR="000A3FE2">
        <w:rPr>
          <w:rFonts w:ascii="Helvetica Neue" w:eastAsia="Helvetica Neue" w:hAnsi="Helvetica Neue" w:cs="Helvetica Neue"/>
          <w:sz w:val="23"/>
          <w:szCs w:val="23"/>
        </w:rPr>
        <w:t xml:space="preserve">: generar conocimiento propio vinculado a la economía circular para reforzar el sistema innovador de la </w:t>
      </w:r>
      <w:proofErr w:type="spellStart"/>
      <w:r w:rsidR="000A3FE2">
        <w:rPr>
          <w:rFonts w:ascii="Helvetica Neue" w:eastAsia="Helvetica Neue" w:hAnsi="Helvetica Neue" w:cs="Helvetica Neue"/>
          <w:sz w:val="23"/>
          <w:szCs w:val="23"/>
        </w:rPr>
        <w:t>Comunitat</w:t>
      </w:r>
      <w:proofErr w:type="spellEnd"/>
      <w:r w:rsidR="000A3FE2">
        <w:rPr>
          <w:rFonts w:ascii="Helvetica Neue" w:eastAsia="Helvetica Neue" w:hAnsi="Helvetica Neue" w:cs="Helvetica Neue"/>
          <w:sz w:val="23"/>
          <w:szCs w:val="23"/>
        </w:rPr>
        <w:t xml:space="preserve"> Valenciana.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7E1F622C" w14:textId="50D85855" w:rsidR="009334FE" w:rsidRDefault="000A3FE2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La plataforma </w:t>
      </w:r>
      <w:proofErr w:type="spellStart"/>
      <w:r w:rsidR="007F0318"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 w:rsidR="007F031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76DCE">
        <w:rPr>
          <w:rFonts w:ascii="Helvetica Neue" w:eastAsia="Helvetica Neue" w:hAnsi="Helvetica Neue" w:cs="Helvetica Neue"/>
          <w:sz w:val="23"/>
          <w:szCs w:val="23"/>
        </w:rPr>
        <w:t xml:space="preserve">(encircular.es) </w:t>
      </w:r>
      <w:r w:rsidR="00FF627E">
        <w:rPr>
          <w:rFonts w:ascii="Helvetica Neue" w:eastAsia="Helvetica Neue" w:hAnsi="Helvetica Neue" w:cs="Helvetica Neue"/>
          <w:sz w:val="23"/>
          <w:szCs w:val="23"/>
        </w:rPr>
        <w:t>se puso en marcha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en noviembre de 2020, como espacio de encuentro entre todos los agentes comprometidos en la evolución hacia modelos sociales y económicos más sostenibles. Proporciona acceso a información y conocimiento sobre tendencias, normativas, proyectos, programas y experiencias de éxito en economía circular</w:t>
      </w:r>
      <w:r w:rsidR="002365CA">
        <w:rPr>
          <w:rFonts w:ascii="Helvetica Neue" w:eastAsia="Helvetica Neue" w:hAnsi="Helvetica Neue" w:cs="Helvetica Neue"/>
          <w:sz w:val="23"/>
          <w:szCs w:val="23"/>
        </w:rPr>
        <w:t>;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permite localizar y contactar con los agentes que trabajan en sus diferentes áreas, a través de un mapa digital interactivo, y da visibilidad </w:t>
      </w:r>
      <w:r w:rsidR="001E6A4B">
        <w:rPr>
          <w:rFonts w:ascii="Helvetica Neue" w:eastAsia="Helvetica Neue" w:hAnsi="Helvetica Neue" w:cs="Helvetica Neue"/>
          <w:sz w:val="23"/>
          <w:szCs w:val="23"/>
        </w:rPr>
        <w:t xml:space="preserve">a </w:t>
      </w:r>
      <w:r>
        <w:rPr>
          <w:rFonts w:ascii="Helvetica Neue" w:eastAsia="Helvetica Neue" w:hAnsi="Helvetica Neue" w:cs="Helvetica Neue"/>
          <w:sz w:val="23"/>
          <w:szCs w:val="23"/>
        </w:rPr>
        <w:t>organizaciones, empresas e instituciones que están desarrollando proyectos concretos innovadores</w:t>
      </w:r>
      <w:r w:rsidR="002365CA">
        <w:rPr>
          <w:rFonts w:ascii="Helvetica Neue" w:eastAsia="Helvetica Neue" w:hAnsi="Helvetica Neue" w:cs="Helvetica Neue"/>
          <w:sz w:val="23"/>
          <w:szCs w:val="23"/>
        </w:rPr>
        <w:t>.</w:t>
      </w:r>
    </w:p>
    <w:p w14:paraId="20525C98" w14:textId="4E3983E9" w:rsidR="00E90625" w:rsidRDefault="00E90625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En los últimos meses, se ha</w:t>
      </w:r>
      <w:r w:rsidR="002365CA">
        <w:rPr>
          <w:rFonts w:ascii="Helvetica Neue" w:eastAsia="Helvetica Neue" w:hAnsi="Helvetica Neue" w:cs="Helvetica Neue"/>
          <w:sz w:val="23"/>
          <w:szCs w:val="23"/>
        </w:rPr>
        <w:t xml:space="preserve"> ampliado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el alcance y funcionalidades del mapa de agentes y </w:t>
      </w:r>
      <w:r w:rsidR="002365CA">
        <w:rPr>
          <w:rFonts w:ascii="Helvetica Neue" w:eastAsia="Helvetica Neue" w:hAnsi="Helvetica Neue" w:cs="Helvetica Neue"/>
          <w:sz w:val="23"/>
          <w:szCs w:val="23"/>
        </w:rPr>
        <w:t>se han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integra</w:t>
      </w:r>
      <w:r w:rsidR="002365CA">
        <w:rPr>
          <w:rFonts w:ascii="Helvetica Neue" w:eastAsia="Helvetica Neue" w:hAnsi="Helvetica Neue" w:cs="Helvetica Neue"/>
          <w:sz w:val="23"/>
          <w:szCs w:val="23"/>
        </w:rPr>
        <w:t>do nuevas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herramientas prácticas </w:t>
      </w:r>
      <w:r w:rsidR="002365CA">
        <w:rPr>
          <w:rFonts w:ascii="Helvetica Neue" w:eastAsia="Helvetica Neue" w:hAnsi="Helvetica Neue" w:cs="Helvetica Neue"/>
          <w:sz w:val="23"/>
          <w:szCs w:val="23"/>
        </w:rPr>
        <w:t>para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facilitar el diagnóstico, la definición e integración de estrategias y acciones de economía circular en las organizaciones. </w:t>
      </w:r>
    </w:p>
    <w:p w14:paraId="2A9AA35B" w14:textId="7ED50A07" w:rsidR="009334FE" w:rsidRDefault="000A3FE2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EnCircular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E90625">
        <w:rPr>
          <w:rFonts w:ascii="Helvetica Neue" w:eastAsia="Helvetica Neue" w:hAnsi="Helvetica Neue" w:cs="Helvetica Neue"/>
          <w:sz w:val="23"/>
          <w:szCs w:val="23"/>
        </w:rPr>
        <w:t xml:space="preserve">está siendo replicada por otras organizaciones en España y </w:t>
      </w:r>
      <w:r>
        <w:rPr>
          <w:rFonts w:ascii="Helvetica Neue" w:eastAsia="Helvetica Neue" w:hAnsi="Helvetica Neue" w:cs="Helvetica Neue"/>
          <w:sz w:val="23"/>
          <w:szCs w:val="23"/>
        </w:rPr>
        <w:t>es uno de los proyectos que ha llevado a la A</w:t>
      </w:r>
      <w:r w:rsidR="0049715A">
        <w:rPr>
          <w:rFonts w:ascii="Helvetica Neue" w:eastAsia="Helvetica Neue" w:hAnsi="Helvetica Neue" w:cs="Helvetica Neue"/>
          <w:sz w:val="23"/>
          <w:szCs w:val="23"/>
        </w:rPr>
        <w:t>DCV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 ser la representante en Valencia del Circular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Economy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Club, red internacional sin ánimo de lucro integrada por más de 6.000 miembros de 140 países, así como a ser nombrada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partner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oficial de la New </w:t>
      </w:r>
      <w:proofErr w:type="spellStart"/>
      <w:r>
        <w:rPr>
          <w:rFonts w:ascii="Helvetica Neue" w:eastAsia="Helvetica Neue" w:hAnsi="Helvetica Neue" w:cs="Helvetica Neue"/>
          <w:sz w:val="23"/>
          <w:szCs w:val="23"/>
        </w:rPr>
        <w:t>European</w:t>
      </w:r>
      <w:proofErr w:type="spellEnd"/>
      <w:r>
        <w:rPr>
          <w:rFonts w:ascii="Helvetica Neue" w:eastAsia="Helvetica Neue" w:hAnsi="Helvetica Neue" w:cs="Helvetica Neue"/>
          <w:sz w:val="23"/>
          <w:szCs w:val="23"/>
        </w:rPr>
        <w:t xml:space="preserve"> Bauhaus.</w:t>
      </w:r>
    </w:p>
    <w:p w14:paraId="505C2D4C" w14:textId="77777777" w:rsidR="007F0318" w:rsidRDefault="007F0318" w:rsidP="00184A49">
      <w:pPr>
        <w:spacing w:before="80" w:after="80" w:line="276" w:lineRule="auto"/>
        <w:jc w:val="both"/>
        <w:rPr>
          <w:rFonts w:ascii="Helvetica Neue" w:eastAsia="Helvetica Neue" w:hAnsi="Helvetica Neue" w:cs="Helvetica Neue"/>
          <w:sz w:val="23"/>
          <w:szCs w:val="23"/>
        </w:rPr>
      </w:pPr>
    </w:p>
    <w:p w14:paraId="4807E39E" w14:textId="3F84309D" w:rsidR="007F0318" w:rsidRDefault="007F0318" w:rsidP="00923272">
      <w:pPr>
        <w:spacing w:before="80" w:after="80" w:line="276" w:lineRule="auto"/>
        <w:jc w:val="center"/>
        <w:rPr>
          <w:rFonts w:ascii="Helvetica Neue" w:hAnsi="Helvetica Neue" w:cstheme="majorHAnsi"/>
          <w:b/>
          <w:color w:val="C00000"/>
          <w:sz w:val="18"/>
          <w:szCs w:val="18"/>
        </w:rPr>
      </w:pPr>
      <w:proofErr w:type="gramStart"/>
      <w:r>
        <w:rPr>
          <w:rFonts w:ascii="Helvetica Neue" w:hAnsi="Helvetica Neue" w:cstheme="majorHAnsi"/>
          <w:b/>
          <w:color w:val="C00000"/>
          <w:sz w:val="18"/>
          <w:szCs w:val="18"/>
        </w:rPr>
        <w:t>L</w:t>
      </w:r>
      <w:r w:rsidR="00923272">
        <w:rPr>
          <w:rFonts w:ascii="Helvetica Neue" w:hAnsi="Helvetica Neue" w:cstheme="majorHAnsi"/>
          <w:b/>
          <w:color w:val="C00000"/>
          <w:sz w:val="18"/>
          <w:szCs w:val="18"/>
        </w:rPr>
        <w:t>ink</w:t>
      </w:r>
      <w:proofErr w:type="gramEnd"/>
      <w:r w:rsidR="00923272">
        <w:rPr>
          <w:rFonts w:ascii="Helvetica Neue" w:hAnsi="Helvetica Neue" w:cstheme="majorHAnsi"/>
          <w:b/>
          <w:color w:val="C00000"/>
          <w:sz w:val="18"/>
          <w:szCs w:val="18"/>
        </w:rPr>
        <w:t xml:space="preserve"> de descarga del estudio </w:t>
      </w:r>
      <w:r w:rsidR="00923272" w:rsidRPr="00923272">
        <w:rPr>
          <w:rFonts w:ascii="Helvetica Neue" w:hAnsi="Helvetica Neue" w:cstheme="majorHAnsi"/>
          <w:b/>
          <w:color w:val="C00000"/>
          <w:sz w:val="18"/>
          <w:szCs w:val="18"/>
        </w:rPr>
        <w:t>‘La economía circular en el ecosistema empresarial de la C</w:t>
      </w:r>
      <w:r w:rsidR="00923272">
        <w:rPr>
          <w:rFonts w:ascii="Helvetica Neue" w:hAnsi="Helvetica Neue" w:cstheme="majorHAnsi"/>
          <w:b/>
          <w:color w:val="C00000"/>
          <w:sz w:val="18"/>
          <w:szCs w:val="18"/>
        </w:rPr>
        <w:t>.</w:t>
      </w:r>
      <w:r w:rsidR="00923272" w:rsidRPr="00923272">
        <w:rPr>
          <w:rFonts w:ascii="Helvetica Neue" w:hAnsi="Helvetica Neue" w:cstheme="majorHAnsi"/>
          <w:b/>
          <w:color w:val="C00000"/>
          <w:sz w:val="18"/>
          <w:szCs w:val="18"/>
        </w:rPr>
        <w:t xml:space="preserve"> Valencian</w:t>
      </w:r>
      <w:r w:rsidR="00923272">
        <w:rPr>
          <w:rFonts w:ascii="Helvetica Neue" w:hAnsi="Helvetica Neue" w:cstheme="majorHAnsi"/>
          <w:b/>
          <w:color w:val="C00000"/>
          <w:sz w:val="18"/>
          <w:szCs w:val="18"/>
        </w:rPr>
        <w:t>a:</w:t>
      </w:r>
    </w:p>
    <w:p w14:paraId="21C28B5D" w14:textId="04DD762D" w:rsidR="00923272" w:rsidRDefault="00797B84" w:rsidP="00923272">
      <w:pPr>
        <w:spacing w:before="80" w:after="80" w:line="276" w:lineRule="auto"/>
        <w:jc w:val="center"/>
        <w:rPr>
          <w:rFonts w:ascii="Helvetica Neue" w:hAnsi="Helvetica Neue" w:cstheme="majorHAnsi"/>
          <w:b/>
          <w:color w:val="C00000"/>
          <w:sz w:val="18"/>
          <w:szCs w:val="18"/>
        </w:rPr>
      </w:pPr>
      <w:r>
        <w:rPr>
          <w:rFonts w:ascii="Helvetica Neue" w:hAnsi="Helvetica Neue" w:cstheme="majorHAnsi"/>
          <w:b/>
          <w:color w:val="C00000"/>
          <w:sz w:val="18"/>
          <w:szCs w:val="18"/>
        </w:rPr>
        <w:t xml:space="preserve">Castellano: </w:t>
      </w:r>
      <w:hyperlink r:id="rId7" w:history="1">
        <w:r w:rsidR="00BD3063" w:rsidRPr="002E4C2B">
          <w:rPr>
            <w:rStyle w:val="Hipervnculo"/>
            <w:rFonts w:ascii="Helvetica Neue" w:hAnsi="Helvetica Neue" w:cstheme="majorHAnsi"/>
            <w:b/>
            <w:sz w:val="18"/>
            <w:szCs w:val="18"/>
          </w:rPr>
          <w:t>https://encircular.es/wp-content/uploads/2022/02/220216_economia_circular_cas_OK.pdf</w:t>
        </w:r>
      </w:hyperlink>
    </w:p>
    <w:p w14:paraId="19CFC7C1" w14:textId="3FFB02A9" w:rsidR="00BD3063" w:rsidRDefault="00BD3063" w:rsidP="00923272">
      <w:pPr>
        <w:spacing w:before="80" w:after="80" w:line="276" w:lineRule="auto"/>
        <w:jc w:val="center"/>
        <w:rPr>
          <w:rFonts w:ascii="Helvetica Neue" w:hAnsi="Helvetica Neue" w:cstheme="majorHAnsi"/>
          <w:b/>
          <w:color w:val="C00000"/>
          <w:sz w:val="18"/>
          <w:szCs w:val="18"/>
        </w:rPr>
      </w:pPr>
      <w:r>
        <w:rPr>
          <w:rFonts w:ascii="Helvetica Neue" w:hAnsi="Helvetica Neue" w:cstheme="majorHAnsi"/>
          <w:b/>
          <w:color w:val="C00000"/>
          <w:sz w:val="18"/>
          <w:szCs w:val="18"/>
        </w:rPr>
        <w:t xml:space="preserve">Valenciano: </w:t>
      </w:r>
      <w:hyperlink r:id="rId8" w:history="1">
        <w:r w:rsidRPr="002E4C2B">
          <w:rPr>
            <w:rStyle w:val="Hipervnculo"/>
            <w:rFonts w:ascii="Helvetica Neue" w:hAnsi="Helvetica Neue" w:cstheme="majorHAnsi"/>
            <w:b/>
            <w:sz w:val="18"/>
            <w:szCs w:val="18"/>
          </w:rPr>
          <w:t>https://encircular.es/wp-content/uploads/2022/02/220216_economia_circular_val_OK.pdf</w:t>
        </w:r>
      </w:hyperlink>
    </w:p>
    <w:p w14:paraId="21A0D822" w14:textId="77777777" w:rsidR="009334FE" w:rsidRDefault="009334FE">
      <w:pPr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10E13D9F" w14:textId="77777777" w:rsidR="00525835" w:rsidRDefault="00525835" w:rsidP="001E6A4B">
      <w:pPr>
        <w:ind w:firstLine="170"/>
        <w:jc w:val="center"/>
        <w:rPr>
          <w:rFonts w:ascii="Helvetica Neue" w:hAnsi="Helvetica Neue" w:cstheme="majorHAnsi"/>
          <w:b/>
          <w:color w:val="C00000"/>
          <w:sz w:val="18"/>
          <w:szCs w:val="18"/>
        </w:rPr>
      </w:pPr>
    </w:p>
    <w:p w14:paraId="32905FB4" w14:textId="0C14B144" w:rsidR="009334FE" w:rsidRPr="000A3FE2" w:rsidRDefault="000A3FE2" w:rsidP="001E6A4B">
      <w:pPr>
        <w:ind w:firstLine="170"/>
        <w:jc w:val="center"/>
        <w:rPr>
          <w:rFonts w:ascii="Helvetica Neue" w:hAnsi="Helvetica Neue" w:cstheme="majorHAnsi"/>
          <w:b/>
          <w:color w:val="C00000"/>
          <w:sz w:val="18"/>
          <w:szCs w:val="18"/>
        </w:rPr>
      </w:pPr>
      <w:r w:rsidRPr="000A3FE2">
        <w:rPr>
          <w:rFonts w:ascii="Helvetica Neue" w:hAnsi="Helvetica Neue" w:cstheme="majorHAnsi"/>
          <w:b/>
          <w:color w:val="C00000"/>
          <w:sz w:val="18"/>
          <w:szCs w:val="18"/>
        </w:rPr>
        <w:t>Para más información, material gráfico y gestión de entrevistas:</w:t>
      </w:r>
    </w:p>
    <w:p w14:paraId="67B43D93" w14:textId="77777777" w:rsidR="009334FE" w:rsidRPr="000A3FE2" w:rsidRDefault="000A3FE2" w:rsidP="001E6A4B">
      <w:pPr>
        <w:pBdr>
          <w:top w:val="nil"/>
          <w:left w:val="nil"/>
          <w:bottom w:val="nil"/>
          <w:right w:val="nil"/>
          <w:between w:val="nil"/>
        </w:pBdr>
        <w:tabs>
          <w:tab w:val="left" w:pos="3018"/>
        </w:tabs>
        <w:ind w:firstLine="113"/>
        <w:jc w:val="center"/>
        <w:rPr>
          <w:rFonts w:ascii="Helvetica Neue" w:eastAsia="Helvetica Neue" w:hAnsi="Helvetica Neue" w:cstheme="majorHAnsi"/>
          <w:color w:val="000000"/>
          <w:sz w:val="18"/>
          <w:szCs w:val="18"/>
        </w:rPr>
      </w:pPr>
      <w:r w:rsidRPr="000A3FE2">
        <w:rPr>
          <w:rFonts w:ascii="Helvetica Neue" w:eastAsia="Cambria" w:hAnsi="Helvetica Neue" w:cstheme="majorHAnsi"/>
          <w:b/>
          <w:color w:val="C00000"/>
          <w:sz w:val="18"/>
          <w:szCs w:val="18"/>
        </w:rPr>
        <w:t>Olivia Fontanillo   Móvil: 630 81 02 01   Email: comunicacion@adcv.com</w:t>
      </w:r>
    </w:p>
    <w:sectPr w:rsidR="009334FE" w:rsidRPr="000A3FE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A13C" w14:textId="77777777" w:rsidR="00D84D63" w:rsidRDefault="00D84D63">
      <w:r>
        <w:separator/>
      </w:r>
    </w:p>
  </w:endnote>
  <w:endnote w:type="continuationSeparator" w:id="0">
    <w:p w14:paraId="1B0E54F0" w14:textId="77777777" w:rsidR="00D84D63" w:rsidRDefault="00D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D631" w14:textId="77777777" w:rsidR="00D84D63" w:rsidRDefault="00D84D63">
      <w:r>
        <w:separator/>
      </w:r>
    </w:p>
  </w:footnote>
  <w:footnote w:type="continuationSeparator" w:id="0">
    <w:p w14:paraId="35373C55" w14:textId="77777777" w:rsidR="00D84D63" w:rsidRDefault="00D8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7D2A" w14:textId="14D4CDA9" w:rsidR="00D14A0C" w:rsidRDefault="00BF356C" w:rsidP="00BF3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noProof/>
      </w:rPr>
    </w:pPr>
    <w:r>
      <w:rPr>
        <w:noProof/>
      </w:rPr>
      <w:drawing>
        <wp:inline distT="0" distB="0" distL="0" distR="0" wp14:anchorId="12A8FB6C" wp14:editId="54491FFB">
          <wp:extent cx="4835769" cy="1018676"/>
          <wp:effectExtent l="0" t="0" r="3175" b="0"/>
          <wp:docPr id="4" name="Imagen 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73" cy="102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AE51A" w14:textId="11B53ECD" w:rsidR="00D14A0C" w:rsidRDefault="00D14A0C" w:rsidP="00D14A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FE"/>
    <w:rsid w:val="000258A2"/>
    <w:rsid w:val="000A3FE2"/>
    <w:rsid w:val="000F1D27"/>
    <w:rsid w:val="001266F1"/>
    <w:rsid w:val="00136D53"/>
    <w:rsid w:val="00175132"/>
    <w:rsid w:val="00182B1A"/>
    <w:rsid w:val="00184A49"/>
    <w:rsid w:val="00195B5A"/>
    <w:rsid w:val="001D13CC"/>
    <w:rsid w:val="001E6A4B"/>
    <w:rsid w:val="002365CA"/>
    <w:rsid w:val="00276AFA"/>
    <w:rsid w:val="0032790D"/>
    <w:rsid w:val="003656B6"/>
    <w:rsid w:val="003C446E"/>
    <w:rsid w:val="00494367"/>
    <w:rsid w:val="0049715A"/>
    <w:rsid w:val="004B4AD3"/>
    <w:rsid w:val="00524FAF"/>
    <w:rsid w:val="00525835"/>
    <w:rsid w:val="005A7AA8"/>
    <w:rsid w:val="005C1D02"/>
    <w:rsid w:val="005D09B5"/>
    <w:rsid w:val="005D4928"/>
    <w:rsid w:val="0066078B"/>
    <w:rsid w:val="007072D6"/>
    <w:rsid w:val="007727E5"/>
    <w:rsid w:val="00797B84"/>
    <w:rsid w:val="007F0318"/>
    <w:rsid w:val="008129BC"/>
    <w:rsid w:val="00815104"/>
    <w:rsid w:val="0083638B"/>
    <w:rsid w:val="008774D6"/>
    <w:rsid w:val="008E444F"/>
    <w:rsid w:val="00904134"/>
    <w:rsid w:val="00913DF5"/>
    <w:rsid w:val="00923272"/>
    <w:rsid w:val="009334FE"/>
    <w:rsid w:val="009856F7"/>
    <w:rsid w:val="00A1182C"/>
    <w:rsid w:val="00A60C58"/>
    <w:rsid w:val="00AD6E8B"/>
    <w:rsid w:val="00B014F8"/>
    <w:rsid w:val="00B115FC"/>
    <w:rsid w:val="00B1721B"/>
    <w:rsid w:val="00B24E66"/>
    <w:rsid w:val="00B76B1E"/>
    <w:rsid w:val="00B76DCE"/>
    <w:rsid w:val="00BD3063"/>
    <w:rsid w:val="00BF356C"/>
    <w:rsid w:val="00C05A29"/>
    <w:rsid w:val="00C51788"/>
    <w:rsid w:val="00C622B1"/>
    <w:rsid w:val="00C804AC"/>
    <w:rsid w:val="00C827F0"/>
    <w:rsid w:val="00C838F8"/>
    <w:rsid w:val="00D1015B"/>
    <w:rsid w:val="00D14A0C"/>
    <w:rsid w:val="00D84D63"/>
    <w:rsid w:val="00DE5247"/>
    <w:rsid w:val="00E21155"/>
    <w:rsid w:val="00E90625"/>
    <w:rsid w:val="00ED1FFE"/>
    <w:rsid w:val="00FE071C"/>
    <w:rsid w:val="00FE379B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A7582"/>
  <w15:docId w15:val="{6FF00A47-B26B-4875-8D8E-5625A94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D5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B02"/>
  </w:style>
  <w:style w:type="paragraph" w:styleId="Piedepgina">
    <w:name w:val="footer"/>
    <w:basedOn w:val="Normal"/>
    <w:link w:val="PiedepginaCar"/>
    <w:uiPriority w:val="99"/>
    <w:unhideWhenUsed/>
    <w:rsid w:val="00ED5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02"/>
  </w:style>
  <w:style w:type="character" w:customStyle="1" w:styleId="Fuentedeprrafopredeter1">
    <w:name w:val="Fuente de párrafo predeter.1"/>
    <w:rsid w:val="00ED5B02"/>
  </w:style>
  <w:style w:type="paragraph" w:customStyle="1" w:styleId="Standard">
    <w:name w:val="Standard"/>
    <w:rsid w:val="00ED5B0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729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ircular.es/wp-content/uploads/2022/02/220216_economia_circular_val_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ircular.es/wp-content/uploads/2022/02/220216_economia_circular_cas_OK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409L4zIxOVBCDMsEkz5f4UOTw==">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1445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Fontanillo</dc:creator>
  <cp:lastModifiedBy>Olivia Fontanillo</cp:lastModifiedBy>
  <cp:revision>2</cp:revision>
  <dcterms:created xsi:type="dcterms:W3CDTF">2022-02-17T12:15:00Z</dcterms:created>
  <dcterms:modified xsi:type="dcterms:W3CDTF">2022-02-17T12:15:00Z</dcterms:modified>
</cp:coreProperties>
</file>